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5840" w:w="12240" w:orient="portrait"/>
          <w:pgMar w:bottom="863.9999999999999" w:top="863.9999999999999" w:left="863.9999999999999" w:right="863.9999999999999" w:header="720" w:footer="720"/>
          <w:pgNumType w:start="1"/>
        </w:sectPr>
      </w:pPr>
      <w:bookmarkStart w:colFirst="0" w:colLast="0" w:name="_j3sphnhog8gr" w:id="0"/>
      <w:bookmarkEnd w:id="0"/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2c9444"/>
          <w:sz w:val="40"/>
          <w:szCs w:val="40"/>
          <w:u w:val="none"/>
          <w:shd w:fill="auto" w:val="clear"/>
          <w:vertAlign w:val="baseline"/>
          <w:rtl w:val="0"/>
        </w:rPr>
        <w:t xml:space="preserve">PPIE Toolkit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Title"/>
        <w:rPr>
          <w:color w:val="073763"/>
          <w:sz w:val="20"/>
          <w:szCs w:val="20"/>
        </w:rPr>
      </w:pPr>
      <w:bookmarkStart w:colFirst="0" w:colLast="0" w:name="_x4y11jg3wdet" w:id="1"/>
      <w:bookmarkEnd w:id="1"/>
      <w:r w:rsidDel="00000000" w:rsidR="00000000" w:rsidRPr="00000000">
        <w:rPr>
          <w:color w:val="073763"/>
          <w:sz w:val="20"/>
          <w:szCs w:val="20"/>
        </w:rPr>
        <w:drawing>
          <wp:inline distB="0" distT="0" distL="0" distR="0">
            <wp:extent cx="2014538" cy="2014538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12548" l="15147" r="15391" t="11931"/>
                    <a:stretch>
                      <a:fillRect/>
                    </a:stretch>
                  </pic:blipFill>
                  <pic:spPr>
                    <a:xfrm>
                      <a:off x="0" y="0"/>
                      <a:ext cx="2014538" cy="20145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1"/>
        <w:widowControl w:val="0"/>
        <w:spacing w:line="240" w:lineRule="auto"/>
        <w:rPr/>
      </w:pPr>
      <w:bookmarkStart w:colFirst="0" w:colLast="0" w:name="_4ek1k88mo32o" w:id="2"/>
      <w:bookmarkEnd w:id="2"/>
      <w:r w:rsidDel="00000000" w:rsidR="00000000" w:rsidRPr="00000000">
        <w:rPr>
          <w:rtl w:val="0"/>
        </w:rPr>
        <w:t xml:space="preserve">Appendix B: Training &amp; Reading Materials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0425.0" w:type="dxa"/>
        <w:jc w:val="left"/>
        <w:tblInd w:w="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90"/>
        <w:gridCol w:w="735"/>
        <w:tblGridChange w:id="0">
          <w:tblGrid>
            <w:gridCol w:w="9690"/>
            <w:gridCol w:w="735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0b9344" w:val="clear"/>
          </w:tcPr>
          <w:p w:rsidR="00000000" w:rsidDel="00000000" w:rsidP="00000000" w:rsidRDefault="00000000" w:rsidRPr="00000000" w14:paraId="00000005">
            <w:pPr>
              <w:widowControl w:val="0"/>
              <w:spacing w:line="240" w:lineRule="auto"/>
              <w:jc w:val="left"/>
              <w:rPr>
                <w:b w:val="1"/>
                <w:bCs w:val="1"/>
                <w:color w:val="ffffff"/>
              </w:rPr>
            </w:pPr>
            <w:r w:rsidDel="00000000" w:rsidR="00000000" w:rsidRPr="00000000">
              <w:rPr>
                <w:rFonts w:ascii="Carlito" w:cs="Carlito" w:eastAsia="Carlito" w:hAnsi="Carlito"/>
                <w:b w:val="1"/>
                <w:bCs w:val="1"/>
                <w:color w:val="ffffff"/>
                <w:rtl w:val="0"/>
              </w:rPr>
              <w:t xml:space="preserve">Published Articles &amp; Reviews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Tolppa, T., Hussaini, A., Ahmed, N. et al. (2024)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Establishment of a patient and public involvement and engagement group to support clinical trials in Pakistan: Initial lessons learned. </w:t>
            </w:r>
          </w:p>
        </w:tc>
        <w:tc>
          <w:tcPr/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jc w:val="left"/>
              <w:rPr/>
            </w:pPr>
            <w:hyperlink r:id="rId7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Hussaini, A., Ahmed, N., Ahmed, M. J., Hashmi, M., Tolppa, T. (2025).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Patient and public involvement and engagement in critical care research in low- and middle-income countries: Challenges and solutions. </w:t>
            </w:r>
          </w:p>
        </w:tc>
        <w:tc>
          <w:tcPr/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left"/>
              <w:rPr/>
            </w:pPr>
            <w:hyperlink r:id="rId8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B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Richards, T., Montori, V. M., Godlee, F., Lapsley, P., &amp; Paul, D. (2013).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Let the patient revolution begin. </w:t>
            </w:r>
          </w:p>
        </w:tc>
        <w:tc>
          <w:tcPr/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left"/>
              <w:rPr/>
            </w:pPr>
            <w:hyperlink r:id="rId9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Domecq, J.P., Prutsky, G., Elraiyah, T. 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rtl w:val="0"/>
              </w:rPr>
              <w:t xml:space="preserve">et al.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 (2014).</w:t>
            </w: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color w:val="333333"/>
                <w:sz w:val="24"/>
                <w:szCs w:val="24"/>
                <w:highlight w:val="white"/>
                <w:rtl w:val="0"/>
              </w:rPr>
              <w:t xml:space="preserve">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Patient engagement in research: A systematic review. </w:t>
            </w:r>
          </w:p>
        </w:tc>
        <w:tc>
          <w:tcPr/>
          <w:p w:rsidR="00000000" w:rsidDel="00000000" w:rsidP="00000000" w:rsidRDefault="00000000" w:rsidRPr="00000000" w14:paraId="0000000E">
            <w:pPr>
              <w:widowControl w:val="0"/>
              <w:spacing w:line="240" w:lineRule="auto"/>
              <w:jc w:val="left"/>
              <w:rPr/>
            </w:pPr>
            <w:hyperlink r:id="rId10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Cook, N., Siddiqi, N., Twiddy, M., &amp; Kenyon, R. (2019).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Patient and public involvement in health research in low and middle-income countries: A systematic review.</w:t>
            </w:r>
          </w:p>
        </w:tc>
        <w:tc>
          <w:tcPr/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left"/>
              <w:rPr/>
            </w:pPr>
            <w:hyperlink r:id="rId11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Hoekstra, F., Mrklas, K.J., Khan, M.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rtl w:val="0"/>
              </w:rPr>
              <w:t xml:space="preserve"> et al.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 (2020).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A review of reviews on principles, strategies, outcomes and impacts of research partnerships approaches: A first step in synthesising the research partnership literature.</w:t>
            </w:r>
          </w:p>
        </w:tc>
        <w:tc>
          <w:tcPr/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jc w:val="left"/>
              <w:rPr/>
            </w:pPr>
            <w:hyperlink r:id="rId12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Heckert, A., Forsythe, L. P., Carman, K. L. 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rtl w:val="0"/>
              </w:rPr>
              <w:t xml:space="preserve">et al.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 (2020).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Researchers, patients, and other stakeholders' perspectives on challenges to and strategies for engagement.</w:t>
            </w:r>
          </w:p>
        </w:tc>
        <w:tc>
          <w:tcPr/>
          <w:p w:rsidR="00000000" w:rsidDel="00000000" w:rsidP="00000000" w:rsidRDefault="00000000" w:rsidRPr="00000000" w14:paraId="00000014">
            <w:pPr>
              <w:widowControl w:val="0"/>
              <w:spacing w:line="240" w:lineRule="auto"/>
              <w:jc w:val="left"/>
              <w:rPr/>
            </w:pPr>
            <w:hyperlink r:id="rId13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5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Dudley, L., Gamble, C., Preston, J., Buck, D., EPIC Patient Advisory Group, Hanley, B. 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rtl w:val="0"/>
              </w:rPr>
              <w:t xml:space="preserve">et al.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 (2015).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What difference does patient and public involvement make and what are its pathways to impact? Qualitative study of patients and researchers from a cohort of randomised clinical trials.</w:t>
            </w:r>
          </w:p>
        </w:tc>
        <w:tc>
          <w:tcPr/>
          <w:p w:rsidR="00000000" w:rsidDel="00000000" w:rsidP="00000000" w:rsidRDefault="00000000" w:rsidRPr="00000000" w14:paraId="00000016">
            <w:pPr>
              <w:widowControl w:val="0"/>
              <w:spacing w:line="240" w:lineRule="auto"/>
              <w:jc w:val="left"/>
              <w:rPr/>
            </w:pPr>
            <w:hyperlink r:id="rId14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Dickert, N. W., Bernard, A. M., Brabson, J. M., Hunter, R. J., McLemore, R., Mitchell, A. R., … D. Pentz, R. (2020).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Partnering with patients to bridge gaps in consent for acute care research.</w:t>
            </w:r>
          </w:p>
        </w:tc>
        <w:tc>
          <w:tcPr/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jc w:val="left"/>
              <w:rPr/>
            </w:pPr>
            <w:hyperlink r:id="rId15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Tindana, P. O., Singh, J. A., Tracy, C. S., et al. (2007).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Grand challenges in global health: Community engagement in research in developing countries.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jc w:val="left"/>
              <w:rPr/>
            </w:pPr>
            <w:hyperlink r:id="rId16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2"/>
            <w:shd w:fill="0b9344" w:val="clea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jc w:val="left"/>
              <w:rPr>
                <w:b w:val="1"/>
                <w:bCs w:val="1"/>
                <w:color w:val="ffffff"/>
              </w:rPr>
            </w:pPr>
            <w:r w:rsidDel="00000000" w:rsidR="00000000" w:rsidRPr="00000000">
              <w:rPr>
                <w:rFonts w:ascii="Carlito" w:cs="Carlito" w:eastAsia="Carlito" w:hAnsi="Carlito"/>
                <w:b w:val="1"/>
                <w:bCs w:val="1"/>
                <w:color w:val="ffffff"/>
                <w:rtl w:val="0"/>
              </w:rPr>
              <w:t xml:space="preserve">Frameworks, Toolkits, &amp; Practical Guides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Mesh Guide: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Setting Up an Advisory/Involvement Group</w:t>
            </w:r>
          </w:p>
        </w:tc>
        <w:tc>
          <w:tcPr/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jc w:val="left"/>
              <w:rPr/>
            </w:pPr>
            <w:hyperlink r:id="rId17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Ludwig Boltzmann Gesellschaft (2019).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Patient and Public Involvement and Engagement in Research: A “How to” Guide for Researchers.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jc w:val="left"/>
              <w:rPr/>
            </w:pPr>
            <w:hyperlink r:id="rId18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MRC Clinical Trials Unit at UCL.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Patient and Public Involvement (PPI) Resources.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jc w:val="left"/>
              <w:rPr/>
            </w:pPr>
            <w:hyperlink r:id="rId19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ACT Patient Engagement Committee. (2024, Fall).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Summary of patient engagement resources.</w:t>
            </w:r>
            <w:r w:rsidDel="00000000" w:rsidR="00000000" w:rsidRPr="00000000">
              <w:rPr>
                <w:rtl w:val="0"/>
              </w:rPr>
              <w:t xml:space="preserve"> </w:t>
            </w:r>
          </w:p>
        </w:tc>
        <w:tc>
          <w:tcPr/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jc w:val="left"/>
              <w:rPr/>
            </w:pPr>
            <w:hyperlink r:id="rId20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Public Engagement in Data Research Initiative (PEDRI). (2025).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PEDRI Good Practice Standards for Public Involvement and Engagement in Data for Research and Statistics</w:t>
            </w:r>
            <w:r w:rsidDel="00000000" w:rsidR="00000000" w:rsidRPr="00000000">
              <w:rPr>
                <w:rtl w:val="0"/>
              </w:rPr>
              <w:t xml:space="preserve">.</w:t>
            </w:r>
          </w:p>
        </w:tc>
        <w:tc>
          <w:tcPr/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jc w:val="left"/>
              <w:rPr/>
            </w:pPr>
            <w:hyperlink r:id="rId21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PCORI. (2020).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Engagement Rubric for Applicants.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jc w:val="left"/>
              <w:rPr/>
            </w:pPr>
            <w:hyperlink r:id="rId22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WHO. (2023).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Framework for meaningful engagement.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jc w:val="left"/>
              <w:rPr/>
            </w:pPr>
            <w:hyperlink r:id="rId23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2"/>
            <w:shd w:fill="0b9344" w:val="clea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jc w:val="left"/>
              <w:rPr>
                <w:b w:val="1"/>
                <w:bCs w:val="1"/>
                <w:color w:val="ffffff"/>
              </w:rPr>
            </w:pPr>
            <w:r w:rsidDel="00000000" w:rsidR="00000000" w:rsidRPr="00000000">
              <w:rPr>
                <w:rFonts w:ascii="Carlito" w:cs="Carlito" w:eastAsia="Carlito" w:hAnsi="Carlito"/>
                <w:b w:val="1"/>
                <w:bCs w:val="1"/>
                <w:color w:val="ffffff"/>
                <w:rtl w:val="0"/>
              </w:rPr>
              <w:t xml:space="preserve">Educational &amp; Training Resources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University of Alberta, School of Public Health. (2020).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SPH 566 Special Seminars: Fundamentals of Patient-Oriented Research.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jc w:val="left"/>
              <w:rPr/>
            </w:pPr>
            <w:hyperlink r:id="rId24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F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National Co-ordinating Centre for Public Engagement (2018).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What Works: Engaging the Public Through Social Media.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widowControl w:val="0"/>
              <w:spacing w:line="240" w:lineRule="auto"/>
              <w:jc w:val="left"/>
              <w:rPr/>
            </w:pPr>
            <w:hyperlink r:id="rId25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1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Global Health Network (TGHN). (2024).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Community Engagement and Involvement in Health Research: An Introduction and Practical Guide.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widowControl w:val="0"/>
              <w:spacing w:line="240" w:lineRule="auto"/>
              <w:jc w:val="left"/>
              <w:rPr/>
            </w:pPr>
            <w:hyperlink r:id="rId26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3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Global Health Social Science (2024).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rtl w:val="0"/>
              </w:rPr>
              <w:t xml:space="preserve">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Social Sciences Sessions - Session 5 [Introducing focus group discussions] and Session 8 [Using participatory methods in health research]</w:t>
            </w:r>
          </w:p>
        </w:tc>
        <w:tc>
          <w:tcPr/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jc w:val="left"/>
              <w:rPr/>
            </w:pPr>
            <w:hyperlink r:id="rId27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2"/>
            <w:shd w:fill="0b9344" w:val="clear"/>
          </w:tcPr>
          <w:p w:rsidR="00000000" w:rsidDel="00000000" w:rsidP="00000000" w:rsidRDefault="00000000" w:rsidRPr="00000000" w14:paraId="00000035">
            <w:pPr>
              <w:widowControl w:val="0"/>
              <w:spacing w:line="240" w:lineRule="auto"/>
              <w:jc w:val="left"/>
              <w:rPr>
                <w:b w:val="1"/>
                <w:bCs w:val="1"/>
                <w:color w:val="ffffff"/>
              </w:rPr>
            </w:pPr>
            <w:r w:rsidDel="00000000" w:rsidR="00000000" w:rsidRPr="00000000">
              <w:rPr>
                <w:rFonts w:ascii="Carlito" w:cs="Carlito" w:eastAsia="Carlito" w:hAnsi="Carlito"/>
                <w:b w:val="1"/>
                <w:bCs w:val="1"/>
                <w:color w:val="ffffff"/>
                <w:rtl w:val="0"/>
              </w:rPr>
              <w:t xml:space="preserve">Reporting &amp; Evaluation Standards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Staniszewska, S., Brett, J., Simera, I., Seers, K., Mockford, C., Goodlad, S., et al. (2017).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GRIPP2 reporting checklists: Tools to improve reporting of patient and public involvement in research.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jc w:val="left"/>
              <w:rPr/>
            </w:pPr>
            <w:hyperlink r:id="rId28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NIHR. (2019).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UK Standards for Public Involvement in Research.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widowControl w:val="0"/>
              <w:spacing w:line="240" w:lineRule="auto"/>
              <w:jc w:val="left"/>
              <w:rPr/>
            </w:pPr>
            <w:hyperlink r:id="rId29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jc w:val="left"/>
              <w:rPr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CIOMS. (2016).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 International ethical guidelines for health-related research involving humans</w:t>
            </w:r>
          </w:p>
        </w:tc>
        <w:tc>
          <w:tcPr/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jc w:val="left"/>
              <w:rPr/>
            </w:pPr>
            <w:hyperlink r:id="rId30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2"/>
            <w:shd w:fill="0b9344" w:val="clear"/>
          </w:tcPr>
          <w:p w:rsidR="00000000" w:rsidDel="00000000" w:rsidP="00000000" w:rsidRDefault="00000000" w:rsidRPr="00000000" w14:paraId="0000003D">
            <w:pPr>
              <w:widowControl w:val="0"/>
              <w:spacing w:line="240" w:lineRule="auto"/>
              <w:jc w:val="left"/>
              <w:rPr>
                <w:b w:val="1"/>
                <w:bCs w:val="1"/>
                <w:color w:val="ffffff"/>
              </w:rPr>
            </w:pPr>
            <w:r w:rsidDel="00000000" w:rsidR="00000000" w:rsidRPr="00000000">
              <w:rPr>
                <w:rFonts w:ascii="Carlito" w:cs="Carlito" w:eastAsia="Carlito" w:hAnsi="Carlito"/>
                <w:b w:val="1"/>
                <w:bCs w:val="1"/>
                <w:color w:val="ffffff"/>
                <w:rtl w:val="0"/>
              </w:rPr>
              <w:t xml:space="preserve">Principles &amp; Reflections on Involvement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F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Lefton, V., &amp; Fleming, A. (2024).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Launching the Lived Experience in Policymaking Guide: Reflections on the principles, behaviours, and mindsets that underpin lived experience work</w:t>
            </w:r>
            <w:r w:rsidDel="00000000" w:rsidR="00000000" w:rsidRPr="00000000">
              <w:rPr>
                <w:rtl w:val="0"/>
              </w:rPr>
              <w:t xml:space="preserve">.</w:t>
            </w:r>
          </w:p>
        </w:tc>
        <w:tc>
          <w:tcPr/>
          <w:p w:rsidR="00000000" w:rsidDel="00000000" w:rsidP="00000000" w:rsidRDefault="00000000" w:rsidRPr="00000000" w14:paraId="00000040">
            <w:pPr>
              <w:widowControl w:val="0"/>
              <w:spacing w:line="240" w:lineRule="auto"/>
              <w:jc w:val="left"/>
              <w:rPr/>
            </w:pPr>
            <w:hyperlink r:id="rId31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1">
            <w:pPr>
              <w:widowControl w:val="0"/>
              <w:spacing w:line="240" w:lineRule="auto"/>
              <w:jc w:val="left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Shangase, P. Z., Gachago, D., &amp; Ivala, E. N. (Eds.). (2023).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Co-teaching and co-research in contexts of inequality: Using networked learning to connect Africa and the world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widowControl w:val="0"/>
              <w:spacing w:line="240" w:lineRule="auto"/>
              <w:jc w:val="left"/>
              <w:rPr/>
            </w:pPr>
            <w:hyperlink r:id="rId32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/>
        <w:sectPr>
          <w:headerReference r:id="rId33" w:type="default"/>
          <w:headerReference r:id="rId34" w:type="first"/>
          <w:footerReference r:id="rId35" w:type="default"/>
          <w:footerReference r:id="rId36" w:type="first"/>
          <w:type w:val="nextPage"/>
          <w:pgSz w:h="15840" w:w="12240" w:orient="portrait"/>
          <w:pgMar w:bottom="863.9999999999999" w:top="863.9999999999999" w:left="863.9999999999999" w:right="863.9999999999999" w:header="720" w:footer="720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line="276.0005454545455" w:lineRule="auto"/>
        <w:ind w:right="11.81102362204797"/>
        <w:jc w:val="right"/>
        <w:rPr>
          <w:rFonts w:ascii="Carlito" w:cs="Carlito" w:eastAsia="Carlito" w:hAnsi="Carlito"/>
          <w:sz w:val="8"/>
          <w:szCs w:val="8"/>
          <w:highlight w:val="white"/>
        </w:rPr>
      </w:pPr>
      <w:r w:rsidDel="00000000" w:rsidR="00000000" w:rsidRPr="00000000">
        <w:rPr>
          <w:rFonts w:ascii="Carlito" w:cs="Carlito" w:eastAsia="Carlito" w:hAnsi="Carlito"/>
          <w:sz w:val="28"/>
          <w:szCs w:val="28"/>
          <w:highlight w:val="white"/>
          <w:rtl w:val="0"/>
        </w:rPr>
        <w:t xml:space="preserve">© 2025, Ziauddin University Patient &amp; Public Involvement &amp; Engagement Group</w:t>
      </w:r>
      <w:r w:rsidDel="00000000" w:rsidR="00000000" w:rsidRPr="00000000">
        <w:rPr>
          <w:rFonts w:ascii="Carlito" w:cs="Carlito" w:eastAsia="Carlito" w:hAnsi="Carlito"/>
          <w:sz w:val="8"/>
          <w:szCs w:val="8"/>
          <w:highlight w:val="white"/>
          <w:rtl w:val="0"/>
        </w:rPr>
        <w:t xml:space="preserve"> </w:t>
      </w:r>
    </w:p>
    <w:p w:rsidR="00000000" w:rsidDel="00000000" w:rsidP="00000000" w:rsidRDefault="00000000" w:rsidRPr="00000000" w14:paraId="00000046">
      <w:pPr>
        <w:spacing w:line="276.0005454545455" w:lineRule="auto"/>
        <w:ind w:right="11.81102362204797"/>
        <w:jc w:val="right"/>
        <w:rPr/>
      </w:pPr>
      <w:r w:rsidDel="00000000" w:rsidR="00000000" w:rsidRPr="00000000">
        <w:rPr>
          <w:rFonts w:ascii="Carlito" w:cs="Carlito" w:eastAsia="Carlito" w:hAnsi="Carlito"/>
          <w:color w:val="404040"/>
          <w:sz w:val="20"/>
          <w:szCs w:val="20"/>
          <w:highlight w:val="white"/>
          <w:rtl w:val="0"/>
        </w:rPr>
        <w:t xml:space="preserve">Licensed under CC BY-NC-SA 4.0. To view a copy of this license: https://creativecommons.org/licenses/by-nc-sa/4.0</w:t>
      </w:r>
      <w:r w:rsidDel="00000000" w:rsidR="00000000" w:rsidRPr="00000000">
        <w:rPr>
          <w:rtl w:val="0"/>
        </w:rPr>
      </w:r>
    </w:p>
    <w:sectPr>
      <w:headerReference r:id="rId37" w:type="default"/>
      <w:headerReference r:id="rId38" w:type="first"/>
      <w:footerReference r:id="rId39" w:type="default"/>
      <w:footerReference r:id="rId40" w:type="first"/>
      <w:type w:val="continuous"/>
      <w:pgSz w:h="15840" w:w="12240" w:orient="portrait"/>
      <w:pgMar w:bottom="863.9999999999999" w:top="863.9999999999999" w:left="863.9999999999999" w:right="863.9999999999999" w:header="720" w:footer="720"/>
      <w:cols w:equalWidth="0" w:num="1">
        <w:col w:space="0" w:w="10511.980000000001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 Ligh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Carlito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7">
    <w:pPr>
      <w:widowControl w:val="0"/>
      <w:spacing w:before="4" w:line="240" w:lineRule="auto"/>
      <w:jc w:val="right"/>
      <w:rPr>
        <w:rFonts w:ascii="Carlito" w:cs="Carlito" w:eastAsia="Carlito" w:hAnsi="Carlito"/>
        <w:color w:val="110a07"/>
        <w:sz w:val="20"/>
        <w:szCs w:val="20"/>
      </w:rPr>
    </w:pPr>
    <w:r w:rsidDel="00000000" w:rsidR="00000000" w:rsidRPr="00000000">
      <w:rPr>
        <w:rFonts w:ascii="Carlito" w:cs="Carlito" w:eastAsia="Carlito" w:hAnsi="Carlito"/>
        <w:b w:val="1"/>
        <w:bCs w:val="1"/>
        <w:color w:val="110a07"/>
        <w:sz w:val="20"/>
        <w:szCs w:val="20"/>
        <w:rtl w:val="0"/>
      </w:rPr>
      <w:t xml:space="preserve">PPIE Toolkit Appendix B v1.0 - 30th October 2025   </w:t>
      <w:tab/>
      <w:tab/>
      <w:t xml:space="preserve">              </w:t>
      <w:tab/>
      <w:t xml:space="preserve">                         </w:t>
      <w:tab/>
      <w:t xml:space="preserve">          </w:t>
    </w:r>
    <w:r w:rsidDel="00000000" w:rsidR="00000000" w:rsidRPr="00000000">
      <w:rPr>
        <w:rFonts w:ascii="Carlito" w:cs="Carlito" w:eastAsia="Carlito" w:hAnsi="Carlito"/>
        <w:color w:val="110a07"/>
        <w:sz w:val="20"/>
        <w:szCs w:val="20"/>
        <w:rtl w:val="0"/>
      </w:rPr>
      <w:t xml:space="preserve">ZIAUDDIN UNIVERSITY PPIE GROUP</w:t>
    </w:r>
  </w:p>
  <w:p w:rsidR="00000000" w:rsidDel="00000000" w:rsidP="00000000" w:rsidRDefault="00000000" w:rsidRPr="00000000" w14:paraId="00000048">
    <w:pPr>
      <w:widowControl w:val="0"/>
      <w:spacing w:before="4" w:line="240" w:lineRule="auto"/>
      <w:jc w:val="left"/>
      <w:rPr>
        <w:rFonts w:ascii="Carlito" w:cs="Carlito" w:eastAsia="Carlito" w:hAnsi="Carlito"/>
        <w:b w:val="1"/>
        <w:bCs w:val="1"/>
        <w:color w:val="110a07"/>
        <w:sz w:val="20"/>
        <w:szCs w:val="20"/>
      </w:rPr>
    </w:pPr>
    <w:r w:rsidDel="00000000" w:rsidR="00000000" w:rsidRPr="00000000">
      <w:rPr>
        <w:rFonts w:ascii="Carlito" w:cs="Carlito" w:eastAsia="Carlito" w:hAnsi="Carlito"/>
        <w:color w:val="110a07"/>
        <w:sz w:val="20"/>
        <w:szCs w:val="20"/>
        <w:rtl w:val="0"/>
      </w:rPr>
      <w:t xml:space="preserve">Training &amp; Reading Materials</w:t>
      <w:tab/>
      <w:tab/>
      <w:tab/>
      <w:tab/>
      <w:tab/>
      <w:tab/>
      <w:tab/>
      <w:tab/>
      <w:t xml:space="preserve">    </w:t>
      <w:tab/>
      <w:tab/>
      <w:t xml:space="preserve">     Page </w:t>
    </w:r>
    <w:r w:rsidDel="00000000" w:rsidR="00000000" w:rsidRPr="00000000">
      <w:rPr>
        <w:rFonts w:ascii="Carlito" w:cs="Carlito" w:eastAsia="Carlito" w:hAnsi="Carlito"/>
        <w:color w:val="110a07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Carlito" w:cs="Carlito" w:eastAsia="Carlito" w:hAnsi="Carlito"/>
        <w:color w:val="110a07"/>
        <w:sz w:val="20"/>
        <w:szCs w:val="20"/>
        <w:rtl w:val="0"/>
      </w:rPr>
      <w:t xml:space="preserve"> of 2</w:t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A">
    <w:pPr>
      <w:widowControl w:val="0"/>
      <w:spacing w:before="4" w:line="240" w:lineRule="auto"/>
      <w:jc w:val="right"/>
      <w:rPr>
        <w:rFonts w:ascii="Carlito" w:cs="Carlito" w:eastAsia="Carlito" w:hAnsi="Carlito"/>
        <w:color w:val="110a07"/>
        <w:sz w:val="20"/>
        <w:szCs w:val="20"/>
      </w:rPr>
    </w:pPr>
    <w:r w:rsidDel="00000000" w:rsidR="00000000" w:rsidRPr="00000000">
      <w:rPr>
        <w:rFonts w:ascii="Carlito" w:cs="Carlito" w:eastAsia="Carlito" w:hAnsi="Carlito"/>
        <w:b w:val="1"/>
        <w:bCs w:val="1"/>
        <w:color w:val="110a07"/>
        <w:sz w:val="20"/>
        <w:szCs w:val="20"/>
        <w:rtl w:val="0"/>
      </w:rPr>
      <w:t xml:space="preserve">PPIE Toolkit Appendix A v1.0 - 30th October 2025   </w:t>
      <w:tab/>
      <w:tab/>
      <w:t xml:space="preserve">              </w:t>
      <w:tab/>
      <w:t xml:space="preserve">                         </w:t>
      <w:tab/>
      <w:t xml:space="preserve">          </w:t>
    </w:r>
    <w:r w:rsidDel="00000000" w:rsidR="00000000" w:rsidRPr="00000000">
      <w:rPr>
        <w:rFonts w:ascii="Carlito" w:cs="Carlito" w:eastAsia="Carlito" w:hAnsi="Carlito"/>
        <w:color w:val="110a07"/>
        <w:sz w:val="20"/>
        <w:szCs w:val="20"/>
        <w:rtl w:val="0"/>
      </w:rPr>
      <w:t xml:space="preserve">ZIAUDDIN UNIVERSITY PPIE GROUP</w:t>
    </w:r>
  </w:p>
  <w:p w:rsidR="00000000" w:rsidDel="00000000" w:rsidP="00000000" w:rsidRDefault="00000000" w:rsidRPr="00000000" w14:paraId="0000004B">
    <w:pPr>
      <w:widowControl w:val="0"/>
      <w:spacing w:before="4" w:line="240" w:lineRule="auto"/>
      <w:jc w:val="left"/>
      <w:rPr/>
    </w:pPr>
    <w:r w:rsidDel="00000000" w:rsidR="00000000" w:rsidRPr="00000000">
      <w:rPr>
        <w:rFonts w:ascii="Carlito" w:cs="Carlito" w:eastAsia="Carlito" w:hAnsi="Carlito"/>
        <w:color w:val="110a07"/>
        <w:sz w:val="20"/>
        <w:szCs w:val="20"/>
        <w:rtl w:val="0"/>
      </w:rPr>
      <w:t xml:space="preserve">Patient &amp; Public Group Coordinator Job Description</w:t>
      <w:tab/>
      <w:tab/>
      <w:tab/>
      <w:tab/>
      <w:tab/>
      <w:tab/>
      <w:tab/>
      <w:tab/>
      <w:t xml:space="preserve">     Page </w:t>
    </w:r>
    <w:r w:rsidDel="00000000" w:rsidR="00000000" w:rsidRPr="00000000">
      <w:rPr>
        <w:rFonts w:ascii="Carlito" w:cs="Carlito" w:eastAsia="Carlito" w:hAnsi="Carlito"/>
        <w:color w:val="110a07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Carlito" w:cs="Carlito" w:eastAsia="Carlito" w:hAnsi="Carlito"/>
        <w:color w:val="110a07"/>
        <w:sz w:val="20"/>
        <w:szCs w:val="20"/>
        <w:rtl w:val="0"/>
      </w:rPr>
      <w:t xml:space="preserve"> of 1</w:t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9">
    <w:pPr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C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_GB"/>
      </w:rPr>
    </w:rPrDefault>
    <w:pPrDefault>
      <w:pPr>
        <w:spacing w:line="276" w:lineRule="auto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Rule="auto"/>
      <w:jc w:val="center"/>
    </w:pPr>
    <w:rPr>
      <w:b w:val="1"/>
      <w:bCs w:val="1"/>
      <w:color w:val="38761d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line="360" w:lineRule="auto"/>
    </w:pPr>
    <w:rPr>
      <w:b w:val="1"/>
      <w:bCs w:val="1"/>
      <w:color w:val="434343"/>
      <w:sz w:val="24"/>
      <w:szCs w:val="24"/>
    </w:rPr>
  </w:style>
  <w:style w:type="paragraph" w:styleId="Heading3">
    <w:name w:val="heading 3"/>
    <w:basedOn w:val="Normal"/>
    <w:next w:val="Normal"/>
    <w:pPr>
      <w:keepNext w:val="1"/>
      <w:keepLines w:val="1"/>
      <w:spacing w:after="200" w:line="240" w:lineRule="auto"/>
      <w:jc w:val="left"/>
    </w:pPr>
    <w:rPr>
      <w:b w:val="1"/>
      <w:bCs w:val="1"/>
      <w:color w:val="999999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jc w:val="both"/>
    </w:pPr>
    <w:rPr>
      <w:rFonts w:ascii="Roboto Light" w:cs="Roboto Light" w:eastAsia="Roboto Light" w:hAnsi="Roboto Light"/>
      <w:color w:val="666666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jc w:val="center"/>
    </w:pPr>
    <w:rPr>
      <w:b w:val="1"/>
      <w:bCs w:val="1"/>
      <w:color w:val="2c9444"/>
      <w:sz w:val="40"/>
      <w:szCs w:val="40"/>
    </w:rPr>
  </w:style>
  <w:style w:type="paragraph" w:styleId="Subtitle">
    <w:name w:val="Subtitle"/>
    <w:basedOn w:val="Normal"/>
    <w:next w:val="Normal"/>
    <w:pPr>
      <w:keepNext w:val="1"/>
      <w:keepLines w:val="1"/>
      <w:spacing w:line="518.4000000000001" w:lineRule="auto"/>
      <w:jc w:val="center"/>
    </w:pPr>
    <w:rPr>
      <w:b w:val="1"/>
      <w:bCs w:val="1"/>
      <w:color w:val="999999"/>
      <w:sz w:val="26"/>
      <w:szCs w:val="26"/>
      <w:highlight w:val="white"/>
    </w:rPr>
  </w:style>
  <w:style w:type="table" w:styleId="Table1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footer" Target="footer2.xml"/><Relationship Id="rId20" Type="http://schemas.openxmlformats.org/officeDocument/2006/relationships/hyperlink" Target="https://act-aec.ca/wp-content/uploads/2025/03/10252024-Patient-Engagement-Resources-1.pdf" TargetMode="External"/><Relationship Id="rId22" Type="http://schemas.openxmlformats.org/officeDocument/2006/relationships/hyperlink" Target="https://www.pcori.org/sites/default/files/Engagement-Rubric.pdf" TargetMode="External"/><Relationship Id="rId21" Type="http://schemas.openxmlformats.org/officeDocument/2006/relationships/hyperlink" Target="https://www.pedri.org.uk/wp-content/uploads/2025/01/PEDRI-Good-Practice-Standards-v4.pdf" TargetMode="External"/><Relationship Id="rId24" Type="http://schemas.openxmlformats.org/officeDocument/2006/relationships/hyperlink" Target="https://absporu.ca/wp-content/uploads/2020/06/SPH-566-Special-Seminars-Fundamentals-in-Patient-Oriented-Research_v4-Jan-20-Apr151.pdf" TargetMode="External"/><Relationship Id="rId23" Type="http://schemas.openxmlformats.org/officeDocument/2006/relationships/hyperlink" Target="https://iris.who.int/server/api/core/bitstreams/08a5abc4-c988-4e0a-9fca-f453bbca616b/conten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doi.org/10.1136/bmj.f2614" TargetMode="External"/><Relationship Id="rId26" Type="http://schemas.openxmlformats.org/officeDocument/2006/relationships/hyperlink" Target="https://globalhealthtrainingcentre.tghn.org/introduction-and-practical-guide-cei-health-research/" TargetMode="External"/><Relationship Id="rId25" Type="http://schemas.openxmlformats.org/officeDocument/2006/relationships/hyperlink" Target="https://www.publicengagement.ac.uk/resources/guide/what-works-guide-engaging-public-through-social-media?utm_source=chatgpt.com" TargetMode="External"/><Relationship Id="rId28" Type="http://schemas.openxmlformats.org/officeDocument/2006/relationships/hyperlink" Target="https://doi.org/10.1136/bmj.j3453" TargetMode="External"/><Relationship Id="rId27" Type="http://schemas.openxmlformats.org/officeDocument/2006/relationships/hyperlink" Target="https://globalhealthsocialscience.tghn.org/qualitative-and-participatory-research-methods/social-sciences-sessions/" TargetMode="Externa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29" Type="http://schemas.openxmlformats.org/officeDocument/2006/relationships/hyperlink" Target="https://sites.google.com/nihr.ac.uk/pi-standards/home" TargetMode="External"/><Relationship Id="rId7" Type="http://schemas.openxmlformats.org/officeDocument/2006/relationships/hyperlink" Target="https://doi.org/10.1186/s40900-024-00635-6" TargetMode="External"/><Relationship Id="rId8" Type="http://schemas.openxmlformats.org/officeDocument/2006/relationships/hyperlink" Target="https://doi.org/10.62675/2965-2774.20250089" TargetMode="External"/><Relationship Id="rId31" Type="http://schemas.openxmlformats.org/officeDocument/2006/relationships/hyperlink" Target="https://openpolicy.blog.gov.uk/2024/03/13/launching-the-lived-experience-in-policymaking-guide-reflections-on-the-principles-behaviours-and-mindsets-that-underpin-lived-experience-work/" TargetMode="External"/><Relationship Id="rId30" Type="http://schemas.openxmlformats.org/officeDocument/2006/relationships/hyperlink" Target="https://cioms.ch/publications/product/international-ethical-guidelines-for-health-related-research-involving-humans/" TargetMode="External"/><Relationship Id="rId11" Type="http://schemas.openxmlformats.org/officeDocument/2006/relationships/hyperlink" Target="https://doi.org/10.1136/bmjopen-2018-026514" TargetMode="External"/><Relationship Id="rId33" Type="http://schemas.openxmlformats.org/officeDocument/2006/relationships/header" Target="header1.xml"/><Relationship Id="rId10" Type="http://schemas.openxmlformats.org/officeDocument/2006/relationships/hyperlink" Target="https://doi.org/10.1186/1472-6963-14-89" TargetMode="External"/><Relationship Id="rId32" Type="http://schemas.openxmlformats.org/officeDocument/2006/relationships/hyperlink" Target="https://vernonpress.com/open-access-book/1767" TargetMode="External"/><Relationship Id="rId13" Type="http://schemas.openxmlformats.org/officeDocument/2006/relationships/hyperlink" Target="https://doi.org/10.1186/s40900-020-00227-0" TargetMode="External"/><Relationship Id="rId35" Type="http://schemas.openxmlformats.org/officeDocument/2006/relationships/footer" Target="footer1.xml"/><Relationship Id="rId12" Type="http://schemas.openxmlformats.org/officeDocument/2006/relationships/hyperlink" Target="https://doi.org/10.1186/s12961-020-0544-9" TargetMode="External"/><Relationship Id="rId34" Type="http://schemas.openxmlformats.org/officeDocument/2006/relationships/header" Target="header2.xml"/><Relationship Id="rId15" Type="http://schemas.openxmlformats.org/officeDocument/2006/relationships/hyperlink" Target="https://doi.org/10.1080/15265161.2020.1745931" TargetMode="External"/><Relationship Id="rId37" Type="http://schemas.openxmlformats.org/officeDocument/2006/relationships/header" Target="header1.xml"/><Relationship Id="rId14" Type="http://schemas.openxmlformats.org/officeDocument/2006/relationships/hyperlink" Target="https://doi.org/10.1371/journal.pone.0128817" TargetMode="External"/><Relationship Id="rId36" Type="http://schemas.openxmlformats.org/officeDocument/2006/relationships/footer" Target="footer2.xml"/><Relationship Id="rId17" Type="http://schemas.openxmlformats.org/officeDocument/2006/relationships/hyperlink" Target="https://mesh.tghn.org/themes/patient-and-public-involvement-and-engagement/mesh-guide-setting-research-advisoryinvolvement-group/?utm_campaign=TGHN+eNewsletter+January+2025&amp;utm_content=Mesh+guide+to+setting+up+an+advisory%2Finvolvement+group&amp;utm_medium=email&amp;utm_source=chatgpt.com&amp;utm_term" TargetMode="External"/><Relationship Id="rId39" Type="http://schemas.openxmlformats.org/officeDocument/2006/relationships/footer" Target="footer1.xml"/><Relationship Id="rId16" Type="http://schemas.openxmlformats.org/officeDocument/2006/relationships/hyperlink" Target="https://doi.org/10.1371/journal.pmed.0040273" TargetMode="External"/><Relationship Id="rId38" Type="http://schemas.openxmlformats.org/officeDocument/2006/relationships/header" Target="header2.xml"/><Relationship Id="rId19" Type="http://schemas.openxmlformats.org/officeDocument/2006/relationships/hyperlink" Target="https://www.mrcctu.ucl.ac.uk/patients-public/patient-and-public-involvement/ppi-resources/" TargetMode="External"/><Relationship Id="rId18" Type="http://schemas.openxmlformats.org/officeDocument/2006/relationships/hyperlink" Target="https://zenodo.org/records/3578321?utm_source=chatgpt.com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11" Type="http://schemas.openxmlformats.org/officeDocument/2006/relationships/font" Target="fonts/Carlito-italic.ttf"/><Relationship Id="rId10" Type="http://schemas.openxmlformats.org/officeDocument/2006/relationships/font" Target="fonts/Carlito-bold.ttf"/><Relationship Id="rId12" Type="http://schemas.openxmlformats.org/officeDocument/2006/relationships/font" Target="fonts/Carlito-boldItalic.ttf"/><Relationship Id="rId9" Type="http://schemas.openxmlformats.org/officeDocument/2006/relationships/font" Target="fonts/Carlito-regular.ttf"/><Relationship Id="rId5" Type="http://schemas.openxmlformats.org/officeDocument/2006/relationships/font" Target="fonts/RobotoLight-regular.ttf"/><Relationship Id="rId6" Type="http://schemas.openxmlformats.org/officeDocument/2006/relationships/font" Target="fonts/RobotoLight-bold.ttf"/><Relationship Id="rId7" Type="http://schemas.openxmlformats.org/officeDocument/2006/relationships/font" Target="fonts/RobotoLight-italic.ttf"/><Relationship Id="rId8" Type="http://schemas.openxmlformats.org/officeDocument/2006/relationships/font" Target="fonts/RobotoLigh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